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4C8" w:rsidRPr="00D354C8" w:rsidRDefault="00D354C8" w:rsidP="00D354C8">
      <w:pPr>
        <w:widowControl w:val="0"/>
        <w:tabs>
          <w:tab w:val="left" w:pos="1210"/>
        </w:tabs>
        <w:autoSpaceDE w:val="0"/>
        <w:autoSpaceDN w:val="0"/>
        <w:spacing w:after="0" w:line="240" w:lineRule="auto"/>
        <w:ind w:left="281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bookmarkStart w:id="0" w:name="_GoBack"/>
      <w:r w:rsidRPr="00D354C8">
        <w:rPr>
          <w:rFonts w:ascii="Times New Roman" w:eastAsia="Times New Roman" w:hAnsi="Times New Roman" w:cs="Times New Roman"/>
          <w:b/>
          <w:bCs/>
        </w:rPr>
        <w:t>КРАТКОЕ НЕТЕХНИЧЕСКОЕ РЕЗЮМЕ</w:t>
      </w:r>
    </w:p>
    <w:bookmarkEnd w:id="0"/>
    <w:p w:rsidR="00D354C8" w:rsidRPr="00D354C8" w:rsidRDefault="00D354C8" w:rsidP="00D354C8">
      <w:pPr>
        <w:widowControl w:val="0"/>
        <w:tabs>
          <w:tab w:val="left" w:pos="1210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Результаты Проекта «Отчет о возможных воздействиях»,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выполненые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 для решений  «Проекта разведочных работ по поиску углеводородов на площади Каргалы» показывают что: выполненные расчеты рассеивания по веществам источников выбросов, зона загрязнения не выходит за область воздействия. Воздействие на воздушный бассейн квалифицируется как незначительное (существующее и проектируемое положение), степень опасности для здоровья населения – допустимая.</w:t>
      </w:r>
    </w:p>
    <w:p w:rsidR="00D354C8" w:rsidRPr="00D354C8" w:rsidRDefault="00D354C8" w:rsidP="00D354C8">
      <w:pPr>
        <w:widowControl w:val="0"/>
        <w:tabs>
          <w:tab w:val="left" w:pos="1210"/>
          <w:tab w:val="left" w:pos="9781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Настоящий проект является первым проектным документом для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недропользователя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 ТОО «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КазНефтеГазПроект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», который приступил к работам </w:t>
      </w:r>
      <w:proofErr w:type="gramStart"/>
      <w:r w:rsidRPr="00D354C8">
        <w:rPr>
          <w:rFonts w:ascii="Times New Roman" w:eastAsia="Times New Roman" w:hAnsi="Times New Roman" w:cs="Times New Roman"/>
          <w:bCs/>
        </w:rPr>
        <w:t>согласно Контракта</w:t>
      </w:r>
      <w:proofErr w:type="gramEnd"/>
      <w:r w:rsidRPr="00D354C8">
        <w:rPr>
          <w:rFonts w:ascii="Times New Roman" w:eastAsia="Times New Roman" w:hAnsi="Times New Roman" w:cs="Times New Roman"/>
          <w:bCs/>
        </w:rPr>
        <w:t xml:space="preserve"> №5090-УВС от 25.08.2022г на проведение разведки и добычи углеводородного сырья. Срок действия Контракта до 25 августа 2028 года. </w:t>
      </w:r>
    </w:p>
    <w:p w:rsidR="00D354C8" w:rsidRPr="00D354C8" w:rsidRDefault="00D354C8" w:rsidP="00D354C8">
      <w:pPr>
        <w:widowControl w:val="0"/>
        <w:tabs>
          <w:tab w:val="left" w:pos="1210"/>
          <w:tab w:val="left" w:pos="9781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Проектом запланировано проведение сейсморазведочных работ 2Д  с целью уточнения геологического строения палеозойских отложений и выяснения перспектив их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нефтегазоносности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 и бурение двух поисковых скважин: одной независимой  скважины, глубиной 3000м и зависимой скважины, глубиной 4950м.</w:t>
      </w:r>
    </w:p>
    <w:p w:rsidR="00D354C8" w:rsidRPr="00D354C8" w:rsidRDefault="00D354C8" w:rsidP="00D354C8">
      <w:pPr>
        <w:widowControl w:val="0"/>
        <w:tabs>
          <w:tab w:val="left" w:pos="1210"/>
        </w:tabs>
        <w:autoSpaceDE w:val="0"/>
        <w:autoSpaceDN w:val="0"/>
        <w:spacing w:after="0" w:line="240" w:lineRule="auto"/>
        <w:ind w:right="425" w:firstLine="567"/>
        <w:jc w:val="center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+mn-ea" w:hAnsi="Times New Roman" w:cs="Times New Roman"/>
          <w:noProof/>
          <w:color w:val="000000"/>
          <w:kern w:val="24"/>
          <w:sz w:val="24"/>
          <w:szCs w:val="24"/>
          <w:lang w:eastAsia="ru-RU"/>
        </w:rPr>
        <w:drawing>
          <wp:inline distT="0" distB="0" distL="0" distR="0" wp14:anchorId="7F4E8719" wp14:editId="02A1D0CF">
            <wp:extent cx="4445229" cy="5001904"/>
            <wp:effectExtent l="0" t="0" r="0" b="8255"/>
            <wp:docPr id="1" name="Рисунок 1" descr="C:\Users\Айдана\Desktop\Безымянный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йдана\Desktop\Безымянный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427" cy="5002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4C8" w:rsidRPr="00D354C8" w:rsidRDefault="00D354C8" w:rsidP="00D354C8">
      <w:pPr>
        <w:widowControl w:val="0"/>
        <w:tabs>
          <w:tab w:val="left" w:pos="1210"/>
        </w:tabs>
        <w:autoSpaceDE w:val="0"/>
        <w:autoSpaceDN w:val="0"/>
        <w:spacing w:after="0" w:line="240" w:lineRule="auto"/>
        <w:ind w:left="281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r w:rsidRPr="00D354C8">
        <w:rPr>
          <w:rFonts w:ascii="Times New Roman" w:eastAsia="Times New Roman" w:hAnsi="Times New Roman" w:cs="Times New Roman"/>
          <w:b/>
          <w:bCs/>
        </w:rPr>
        <w:t xml:space="preserve">Рисунок 1. Обзорная карта </w:t>
      </w:r>
    </w:p>
    <w:p w:rsidR="00D354C8" w:rsidRPr="00D354C8" w:rsidRDefault="00D354C8" w:rsidP="00D354C8">
      <w:pPr>
        <w:widowControl w:val="0"/>
        <w:tabs>
          <w:tab w:val="left" w:pos="1210"/>
        </w:tabs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</w:p>
    <w:p w:rsidR="00D354C8" w:rsidRPr="00D354C8" w:rsidRDefault="00D354C8" w:rsidP="00D354C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54C8" w:rsidRPr="00D354C8" w:rsidRDefault="00D354C8" w:rsidP="00D354C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Участок Каргалы административно расположен в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Мортукском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и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Каргалинском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районах Актюбинской области Республики Казахстан в 50 км к северо-востоку от г.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Актобе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Географически участок расположен в северной части восточного борта Прикаспийской впадины. Ближайшими населенными пунктами являются небольшие поселки Петропавловка, Александровка. Расстояние от поселка Петропавловка – около 8,5 км. Координаты центра поселка 50°32'13.38"СШ, 57°26'50.86"ВД Расстояние от поселка Александровка – около 10 км. Координаты центра поселка 50°34'43.70"СШ, 57°32'34.73"ВД. Областной центр – город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>Актобе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расположен в 50 км на юг от площади работ. На территории имеется разветвленная сеть автомобильных дорог, железнодорожная линия, ЛЭП различной мощности. В орографическом отношении площадь представляет собой слегка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всхолмлѐнную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равнину. В направлении с севера на юг наблюдается общее понижение рельефа и относительное его упрощение, рельеф постепенно сглаживается и приобретает равнинный характер, типичный для большей части Прикаспийской впадины. Климат района резко континентальный с сухим жарким летом и холодной зимой, с резкими суточными и годовыми колебаниями температуры. Зимой, в январе и феврале, температура опускается до -30-40º, летом поднимается до +30º-(+40º). Устойчивый снежный покров держится в течение 6 месяцев, высота его различна. Глубина промерзания земли в зимний период от 0,8 до 1,2 м. Главное водной артерией Актюбинской области является р. Илек, которая с юга до г.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Актобе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имеет меридиональное направление, а затем поворачивает на северо- запад на соединение р. Урал. Более значительными притоками р. Илек являются р.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Жаксы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-Каргала, </w:t>
      </w:r>
      <w:proofErr w:type="gram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впадающая</w:t>
      </w:r>
      <w:proofErr w:type="gram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в нее в районе г.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Актобе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Все реки маловодны, имеют степной характер, причем более мелкие из них в летнее время почти высыхают и часто распадаются на ряд плесов. Сообщение участка и г.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Актобе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осуществляется по асфальтированному шоссе. В советское время в 1950-60 гг. в пределах участка Каргала разведочным бурением выявлены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нефтеперспективные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структуры Петропавловская и Александровская. В пределах данных структур было пробурено порядка 22 разведочных скважин. В процессе бурения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нефтегазопроявления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наблюдалось во многих скважинах. В 1953 г. Московским нефтяным институтом проведены опытные сейсмические работы методом регулированного направленного приема. В результате проведенного глубокого разведочного и структурного бурения, а также геофизических работ получен новый геологический материал, анализ которого дал возможность выявить ряд дополнительных закономерностей в геологическом строении и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нефтегазоносности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Актюбинского </w:t>
      </w:r>
      <w:proofErr w:type="spellStart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Приуралья</w:t>
      </w:r>
      <w:proofErr w:type="spellEnd"/>
      <w:r w:rsidRPr="00D354C8">
        <w:rPr>
          <w:rFonts w:ascii="Times New Roman" w:eastAsia="Calibri" w:hAnsi="Times New Roman" w:cs="Times New Roman"/>
          <w:color w:val="000000"/>
          <w:sz w:val="23"/>
          <w:szCs w:val="23"/>
        </w:rPr>
        <w:t>, составлены карты, дан послойный стратиграфический разрез.</w:t>
      </w:r>
    </w:p>
    <w:p w:rsidR="00D354C8" w:rsidRPr="00D354C8" w:rsidRDefault="00D354C8" w:rsidP="00D354C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Учитывая прогнозные концентрации химического загрязнения атмосферы, результаты расчета рассеивания приземных концентраций загрязняющих веществ в атмосферном воздухе, существенных воздействий на жизнь и здоровье людей, условия их проживания и деятельности при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осуществении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пректируемых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 работ оказывать не будет.</w:t>
      </w:r>
      <w:r w:rsidRPr="00D354C8">
        <w:rPr>
          <w:rFonts w:ascii="Times New Roman" w:eastAsia="Times New Roman" w:hAnsi="Times New Roman" w:cs="Times New Roman"/>
        </w:rPr>
        <w:t xml:space="preserve"> </w:t>
      </w:r>
    </w:p>
    <w:p w:rsidR="00D354C8" w:rsidRPr="00D354C8" w:rsidRDefault="00D354C8" w:rsidP="00D35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В связи с тем, что территория участка расположена на значительном расстоянии от селитебных зон воздействия на биоразнообразие района (в том числе растительный и животный мир, генетические ресурсы, природные ареалы растений и диких животных, пути миграции диких животных, экосистемы) оказываться не будет.</w:t>
      </w:r>
    </w:p>
    <w:p w:rsidR="00D354C8" w:rsidRPr="00D354C8" w:rsidRDefault="00D354C8" w:rsidP="00D35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Не значительное воздействия будет оказываться на техногенные нарушенные земли, расположенные смежно с рассматриваемой территорией в результате химического воздействия предприятия на атмосферный воздух. Изъятие земель не предусматривается.</w:t>
      </w:r>
    </w:p>
    <w:p w:rsidR="00D354C8" w:rsidRPr="00D354C8" w:rsidRDefault="00D354C8" w:rsidP="00D35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В результате производственной деятельности воздействие на поверхностные и подземные воды оказываться не будет. Сброса сточных вод не предусмотрено.</w:t>
      </w:r>
    </w:p>
    <w:p w:rsidR="00D354C8" w:rsidRPr="00D354C8" w:rsidRDefault="00D354C8" w:rsidP="00D35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Воздействия на атмосферный воздух будет оказываться в пределах области воздействия источниками выбросов предприятия, а также в меньшей степени источниками звукового давления. Организация на предприятии мониторинга предельных выбросов и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монитринга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 воздействия на атмосферный воздух позволит предупредить риски нарушения экологических нормативов его качества, целевых показателей качества, а при их отсутствии – ориентировочно безопасных уровней воздействия на него.</w:t>
      </w:r>
    </w:p>
    <w:p w:rsidR="00D354C8" w:rsidRPr="00D354C8" w:rsidRDefault="00D354C8" w:rsidP="00D35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Объекты историко-культурного наследия (в том числе архитектурные и археологические) в районе намечаемых работ отсутствуют.</w:t>
      </w:r>
    </w:p>
    <w:p w:rsidR="00D354C8" w:rsidRPr="00D354C8" w:rsidRDefault="00D354C8" w:rsidP="00D354C8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0"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Выброс ЗВ в атмосферу при бурении одной поисковой независимой скважины, глубиной 3000 м (+/- 250м) составит: 5.159628262 г/сек и 37.28878318 т/год. При бурении зависимой от результатов сейсморазведки скважины, глубиной 4950 м (+/- 250м) - 7.159628262 г/сек и 74.231822554 т/год. На этапе проведения сейсморазведочных работ - 1.0012377666г/ сек и 8.99082885 т/период. При проведении проектируемых работ от стационарных источников выбрасывается в атмосферу при строительстве скважины зависимой от результатов сейсморазведки скважины, глубиной 4950 м (+/- 250м), от максимального выброса, следующие вещества с 1 по 4 класс опасности: </w:t>
      </w:r>
      <w:proofErr w:type="gramStart"/>
      <w:r w:rsidRPr="00D354C8">
        <w:rPr>
          <w:rFonts w:ascii="Times New Roman" w:eastAsia="Times New Roman" w:hAnsi="Times New Roman" w:cs="Times New Roman"/>
          <w:bCs/>
        </w:rPr>
        <w:t xml:space="preserve">Железо (II, III) оксиды 3 класс 0.00388 т/ год, Марганец и его соединения 2 класс 0.000334 т/год, Азота (IV) диоксид 2 класс – 17.5156347076 т/год, Азот (II) оксид (Азота оксид) (6)3 класс – 17,740177 т/год, Углерод (Сажа, Углерод черный) 3класс- </w:t>
      </w:r>
      <w:r w:rsidRPr="00D354C8">
        <w:rPr>
          <w:rFonts w:ascii="Times New Roman" w:eastAsia="Times New Roman" w:hAnsi="Times New Roman" w:cs="Times New Roman"/>
          <w:bCs/>
        </w:rPr>
        <w:lastRenderedPageBreak/>
        <w:t>7.24634153 т/год, Сера диоксид 3класс – 9.4579872 т/год, Сероводород 2класс - 0.00158037 т/год, Углерод оксид 4 класс</w:t>
      </w:r>
      <w:proofErr w:type="gramEnd"/>
      <w:r w:rsidRPr="00D354C8">
        <w:rPr>
          <w:rFonts w:ascii="Times New Roman" w:eastAsia="Times New Roman" w:hAnsi="Times New Roman" w:cs="Times New Roman"/>
          <w:bCs/>
        </w:rPr>
        <w:t xml:space="preserve"> -</w:t>
      </w:r>
      <w:proofErr w:type="gramStart"/>
      <w:r w:rsidRPr="00D354C8">
        <w:rPr>
          <w:rFonts w:ascii="Times New Roman" w:eastAsia="Times New Roman" w:hAnsi="Times New Roman" w:cs="Times New Roman"/>
          <w:bCs/>
        </w:rPr>
        <w:t xml:space="preserve">5.9435733 т/год, Фтористые газообразные соединения /в пересчете на фтор/ (2 класс) 0.000272 т/год, Фториды неорганические плохо растворимые 2 класс - 0.001198 т/год, Метан – 10.756255782 т/год, Изобутан (2-Метилпропан) (4 класс) 0,7449961 т/год, Смесь углеводородов предельных С1-С5 (1502*) 0.1687 т/год, Смесь углеводородов предельных С6-С10 (1503*) – 0.1747 т/год, Бензол (2 класс) 0.000815 т/год,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Диметилбензол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 (смесь о</w:t>
      </w:r>
      <w:proofErr w:type="gramEnd"/>
      <w:r w:rsidRPr="00D354C8">
        <w:rPr>
          <w:rFonts w:ascii="Times New Roman" w:eastAsia="Times New Roman" w:hAnsi="Times New Roman" w:cs="Times New Roman"/>
          <w:bCs/>
        </w:rPr>
        <w:t xml:space="preserve">-, </w:t>
      </w:r>
      <w:proofErr w:type="gramStart"/>
      <w:r w:rsidRPr="00D354C8">
        <w:rPr>
          <w:rFonts w:ascii="Times New Roman" w:eastAsia="Times New Roman" w:hAnsi="Times New Roman" w:cs="Times New Roman"/>
          <w:bCs/>
        </w:rPr>
        <w:t>м-</w:t>
      </w:r>
      <w:proofErr w:type="gramEnd"/>
      <w:r w:rsidRPr="00D354C8">
        <w:rPr>
          <w:rFonts w:ascii="Times New Roman" w:eastAsia="Times New Roman" w:hAnsi="Times New Roman" w:cs="Times New Roman"/>
          <w:bCs/>
        </w:rPr>
        <w:t xml:space="preserve">, п- изомеров) (3 класс) 0.000256 т/год, Метилбензол (3 класс) 0.000512 т/год, Проп-2-ен-1-аль (Акролеин,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Акрилальдегид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>) (2 класс) 0.90814 т/год, Формальдегид (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Метаналь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) (2 класс) 0.90814 т/год, Масло минеральное нефтяное (веретенное, машинное, цилиндровое и др.) (716*)0.0001463 т/год,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Алканы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 С12-19 (4 класс) 1.185385264 т/год, Пыль неорганическая, содержащая двуокись кремния в %: 70-20 (3 класс) 1.472798 т/год. По результатам лабораторных исследований состава газа из пробуренных скважин содержание сероводородов нет.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Проектируемый объект не подлежит в регистр выбросов и переноса загрязнителей в соответствии с правилами ведения регистра выбросов и переноса загрязнителей. Сведения о веществах, входящих в перечень загрязнителей, данные по которым подлежат внесению в регистр выбросов и переноса загрязнителей нет</w:t>
      </w:r>
      <w:proofErr w:type="gramStart"/>
      <w:r w:rsidRPr="00D354C8">
        <w:rPr>
          <w:rFonts w:ascii="Times New Roman" w:eastAsia="Times New Roman" w:hAnsi="Times New Roman" w:cs="Times New Roman"/>
          <w:bCs/>
        </w:rPr>
        <w:t>..</w:t>
      </w:r>
      <w:proofErr w:type="gramEnd"/>
    </w:p>
    <w:p w:rsidR="00D354C8" w:rsidRPr="00D354C8" w:rsidRDefault="00D354C8" w:rsidP="00D354C8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0"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Вероятность возникновения аварийных ситуаций на каждом конкретном объекте зависит от множества факторов, обусловленных горно-геологическими, климатическими, техническими и другими особенностями. Количественная оценка вероятности возникновения аварийной ситуации возможна только при наличии достаточно полной репрезентативной, статистической информационной базы данных, учитывающей специфику эксплуатации объекта. Однако, как показывает опыт разведки и эксплуатации месторождений полезных ископаемых, частота возникновения аварийных ситуаций подчиняется общим закономерностям, вероятность реализации которых может быть выражена по аналогии с произошедшими событиями в системе экспертных оценок.</w:t>
      </w:r>
      <w:r w:rsidRPr="00D354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354C8">
        <w:rPr>
          <w:rFonts w:ascii="Times New Roman" w:eastAsia="Times New Roman" w:hAnsi="Times New Roman" w:cs="Times New Roman"/>
          <w:bCs/>
        </w:rPr>
        <w:t xml:space="preserve">Основными причинами возникновения аварийных ситуаций при разработке проекта на рассматриваемом месторождении являются: нарушение технологических процессов; технические ошибки операторов и другого персонала, нарушения техники безопасности и противопожарной безопасности; нарушением технологии эксплуатации и обслуживания оборудования, отказом работы оборудования, человеческим фактором; отравление выхлопными газами двигателей внутреннего сгорания спецтехники и автотранспорта, работающих на нефтепромысле; несоблюдение требований противопожарной защиты при использовании ГСМ и т.д. 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Предупреждение аварийных и чрезвычайных ситуаций как в части их предотвращения (снижения вероятности возникновения), так и в плане уменьшения потерь и ущерба от них (смягчения последствий) проводится по следующим направлениям: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Профессиональная подготовка работника: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</w:t>
      </w:r>
      <w:r w:rsidRPr="00D354C8">
        <w:rPr>
          <w:rFonts w:ascii="Times New Roman" w:eastAsia="Times New Roman" w:hAnsi="Times New Roman" w:cs="Times New Roman"/>
          <w:bCs/>
        </w:rPr>
        <w:tab/>
        <w:t>первичный инструктаж по безопасным методам работы для вновь принятого или переведенного из одного цеха в другой работника (проводится мастером или начальником цеха);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</w:t>
      </w:r>
      <w:r w:rsidRPr="00D354C8">
        <w:rPr>
          <w:rFonts w:ascii="Times New Roman" w:eastAsia="Times New Roman" w:hAnsi="Times New Roman" w:cs="Times New Roman"/>
          <w:bCs/>
        </w:rPr>
        <w:tab/>
        <w:t>ежеквартальный инструктаж по безопасным методам работы и содержанию планов ликвидации аварий и эвакуации персонала (проводятся руководителем организации);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</w:t>
      </w:r>
      <w:r w:rsidRPr="00D354C8">
        <w:rPr>
          <w:rFonts w:ascii="Times New Roman" w:eastAsia="Times New Roman" w:hAnsi="Times New Roman" w:cs="Times New Roman"/>
          <w:bCs/>
        </w:rPr>
        <w:tab/>
        <w:t xml:space="preserve">повышение квалификации рабочих по специальным программам в соответствии с Типовым положением (проводится аттестованными преподавателями). Противоаварийная подготовка персонала предусматривает выполнение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следующихмероприятий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>: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</w:t>
      </w:r>
      <w:r w:rsidRPr="00D354C8">
        <w:rPr>
          <w:rFonts w:ascii="Times New Roman" w:eastAsia="Times New Roman" w:hAnsi="Times New Roman" w:cs="Times New Roman"/>
          <w:bCs/>
        </w:rPr>
        <w:tab/>
        <w:t>разработка планов ликвидации аварий в цехах и на объектах, подконтрольных КЧС МВД РК; а также подготовка планов эвакуации персонала цехов и объектов в случае возникновения аварий;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</w:t>
      </w:r>
      <w:r w:rsidRPr="00D354C8">
        <w:rPr>
          <w:rFonts w:ascii="Times New Roman" w:eastAsia="Times New Roman" w:hAnsi="Times New Roman" w:cs="Times New Roman"/>
          <w:bCs/>
        </w:rPr>
        <w:tab/>
        <w:t>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(проводится мастером или начальником цеха);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</w:t>
      </w:r>
      <w:r w:rsidRPr="00D354C8">
        <w:rPr>
          <w:rFonts w:ascii="Times New Roman" w:eastAsia="Times New Roman" w:hAnsi="Times New Roman" w:cs="Times New Roman"/>
          <w:bCs/>
        </w:rPr>
        <w:tab/>
        <w:t>ежеквартальный инструктаж по действиям в соответствии с планами ликвидации аварий и эвакуации персонала (проводится руководителем организации).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Предусмотрено обязательное обучение всех работников предприятий, учреждений и организаций правилам поведения, способам защиты и действиям в чрезвычайных ситуациях.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Занятия с ними проводятся по месту работы в соответствии с программами, разработанными с учетом особенностей производства. Работники также принимают участие в специальных учениях и тренировках.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Для руководителей всех уровней, кроме того, предусмотрено обязательное повышение </w:t>
      </w:r>
      <w:r w:rsidRPr="00D354C8">
        <w:rPr>
          <w:rFonts w:ascii="Times New Roman" w:eastAsia="Times New Roman" w:hAnsi="Times New Roman" w:cs="Times New Roman"/>
          <w:bCs/>
        </w:rPr>
        <w:lastRenderedPageBreak/>
        <w:t>квалификации в области гражданской обороны и защиты от чрезвычайных ситуаций при назначении на должность, а в последующем не реже одного раза в пять лет.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В качестве профилактических мер на объектах целесообразно использовать следующее: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</w:t>
      </w:r>
      <w:r w:rsidRPr="00D354C8">
        <w:rPr>
          <w:rFonts w:ascii="Times New Roman" w:eastAsia="Times New Roman" w:hAnsi="Times New Roman" w:cs="Times New Roman"/>
          <w:bCs/>
        </w:rPr>
        <w:tab/>
        <w:t>ужесточение пропускного режима при входе и въезде на территорию;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</w:t>
      </w:r>
      <w:r w:rsidRPr="00D354C8">
        <w:rPr>
          <w:rFonts w:ascii="Times New Roman" w:eastAsia="Times New Roman" w:hAnsi="Times New Roman" w:cs="Times New Roman"/>
          <w:bCs/>
        </w:rPr>
        <w:tab/>
        <w:t xml:space="preserve">установка систем сигнализации, </w:t>
      </w:r>
      <w:proofErr w:type="gramStart"/>
      <w:r w:rsidRPr="00D354C8">
        <w:rPr>
          <w:rFonts w:ascii="Times New Roman" w:eastAsia="Times New Roman" w:hAnsi="Times New Roman" w:cs="Times New Roman"/>
          <w:bCs/>
        </w:rPr>
        <w:t>аудио–и</w:t>
      </w:r>
      <w:proofErr w:type="gramEnd"/>
      <w:r w:rsidRPr="00D354C8">
        <w:rPr>
          <w:rFonts w:ascii="Times New Roman" w:eastAsia="Times New Roman" w:hAnsi="Times New Roman" w:cs="Times New Roman"/>
          <w:bCs/>
        </w:rPr>
        <w:t xml:space="preserve"> видеозаписи;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</w:t>
      </w:r>
      <w:r w:rsidRPr="00D354C8">
        <w:rPr>
          <w:rFonts w:ascii="Times New Roman" w:eastAsia="Times New Roman" w:hAnsi="Times New Roman" w:cs="Times New Roman"/>
          <w:bCs/>
        </w:rPr>
        <w:tab/>
        <w:t>тщательный подбор и проверка кадров;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</w:t>
      </w:r>
      <w:r w:rsidRPr="00D354C8">
        <w:rPr>
          <w:rFonts w:ascii="Times New Roman" w:eastAsia="Times New Roman" w:hAnsi="Times New Roman" w:cs="Times New Roman"/>
          <w:bCs/>
        </w:rPr>
        <w:tab/>
        <w:t xml:space="preserve">использование специальных средств и приборов обнаружения взрывчатых веществ и т.д. 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Каждый рабочий и служащий объекта при чрезвычайной ситуации должен умело воспользоваться имеющимися средствами оповещения и вызвать пожарную команду.</w:t>
      </w:r>
    </w:p>
    <w:p w:rsidR="00D354C8" w:rsidRPr="00D354C8" w:rsidRDefault="00D354C8" w:rsidP="00D354C8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0"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Во всех случаях, когда выявлены значительные неблагоприятные воздействия, основная цель заключается в поиске мер по их снижению. Для тех случаев, когда подобрать подходящие мероприятия не представляется возможным, ниже излагаются варианты мероприятий, направленных на компенсации негативных последствий. Кроме того, в соответствующих случаях рекомендованы стимулирующие мероприятия. Стимулирующие мероприятия не следует рассматривать в качестве альтернативы смягчающим или компенсирующим мероприятиям – это мероприятия, выделенные в связи с их способностью обеспечить проекту определенные дополнительные преимущества после того, как реализованы все смягчающие и компенсирующие мероприятия.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По атмосферному воздуху:  проведение технического осмотра и профилактических работ технологического</w:t>
      </w:r>
      <w:r w:rsidRPr="00D354C8">
        <w:rPr>
          <w:rFonts w:ascii="Times New Roman" w:eastAsia="Times New Roman" w:hAnsi="Times New Roman" w:cs="Times New Roman"/>
          <w:bCs/>
        </w:rPr>
        <w:tab/>
        <w:t>оборудования, механизмов и автотранспорта, соблюдение нормативов допустимых выбросов.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По поверхностным и подземным водам: организация системы сбора и хранения отходов производства; контроль герметичности всех емкостей, во избежание утечек воды.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По недрам и почвам: должны приниматься меры, исключающие загрязнение плодородного слоя почвы минеральным грунтом, строительным мусором, нефтепродуктами и другими веществами, ухудшающими плодородие почв;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По отходам производства: своевременная организация системы сбора, транспортировки и утилизации отходов.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По физическим воздействиям: содержание оборудования в надлежащем порядке, своевременное проведение технического осмотра и ремонта, правильное осуществление монтажа вращающихся и движущихся деталей частей оборудования и тщательная их балансировка; строгое выполнение персоналом существующих на предприятии инструкций; обязательное соблюдение правил техники безопасности. По растительному миру: перемещение спецтехники и транспорта ограничить специально отведенными дорогами; установка информационных табличек в местах произрастания редких и исчезающих растений на территории объекта, производить информационную кампанию для персонала объекта и населения с целью сохранения редких и исчезающих видов растений.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По животному миру: </w:t>
      </w:r>
      <w:proofErr w:type="gramStart"/>
      <w:r w:rsidRPr="00D354C8">
        <w:rPr>
          <w:rFonts w:ascii="Times New Roman" w:eastAsia="Times New Roman" w:hAnsi="Times New Roman" w:cs="Times New Roman"/>
          <w:bCs/>
        </w:rPr>
        <w:t>контроль за</w:t>
      </w:r>
      <w:proofErr w:type="gramEnd"/>
      <w:r w:rsidRPr="00D354C8">
        <w:rPr>
          <w:rFonts w:ascii="Times New Roman" w:eastAsia="Times New Roman" w:hAnsi="Times New Roman" w:cs="Times New Roman"/>
          <w:bCs/>
        </w:rPr>
        <w:t xml:space="preserve"> недопущением разрушения и повреждения гнезд, сбор яиц без разрешения уполномоченного органа; установка информационных табличек в местах гнездования птиц; воспитание (информационная кампания) для персонала и населения в духе гуманного и бережного отношения к животным; установка вторичных глушителей выхлопа на спецтехнику и авто транспорт; регулярное техническое обслуживание производственного оборудования и его эксплуатация в соответствии со стандартами изготовителей; осуществление жесткого контроля нерегламентированной добычи животных; ограничение перемещения техники специально отведенными дорогами.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При соблюдении этих мероприятий, потери и компенсации биоразнообразия не предусматривается. Возможных необратимых воздействий на окружающую среду решения рабочего проекта не предусматривают.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Обоснование необходимости выполнения </w:t>
      </w:r>
      <w:proofErr w:type="gramStart"/>
      <w:r w:rsidRPr="00D354C8">
        <w:rPr>
          <w:rFonts w:ascii="Times New Roman" w:eastAsia="Times New Roman" w:hAnsi="Times New Roman" w:cs="Times New Roman"/>
          <w:bCs/>
        </w:rPr>
        <w:t>операций, влекущих такие воздействия не требуется</w:t>
      </w:r>
      <w:proofErr w:type="gramEnd"/>
      <w:r w:rsidRPr="00D354C8">
        <w:rPr>
          <w:rFonts w:ascii="Times New Roman" w:eastAsia="Times New Roman" w:hAnsi="Times New Roman" w:cs="Times New Roman"/>
          <w:bCs/>
        </w:rPr>
        <w:t>.</w:t>
      </w:r>
    </w:p>
    <w:p w:rsidR="00D354C8" w:rsidRPr="00D354C8" w:rsidRDefault="00D354C8" w:rsidP="00D354C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Сравнительный анализ потерь от необратимых воздействий и выгоды от операций, вызывающих эти потери, в экологическом, культурном, экономическом и социальном контекстах не приводится.</w:t>
      </w:r>
    </w:p>
    <w:p w:rsidR="00D354C8" w:rsidRPr="00D354C8" w:rsidRDefault="00D354C8" w:rsidP="00D354C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Список источников информации, полученной в ходе выполнения оценки воздействия на окружающую среду:</w:t>
      </w:r>
    </w:p>
    <w:p w:rsidR="00D354C8" w:rsidRPr="00D354C8" w:rsidRDefault="00D354C8" w:rsidP="00D35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- Экологический Кодекс Республики Казахстан 2.01.2021г., </w:t>
      </w:r>
    </w:p>
    <w:p w:rsidR="00D354C8" w:rsidRPr="00D354C8" w:rsidRDefault="00D354C8" w:rsidP="00D35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- Классификатор отходов, утвержден приказом </w:t>
      </w:r>
      <w:proofErr w:type="spellStart"/>
      <w:r w:rsidRPr="00D354C8">
        <w:rPr>
          <w:rFonts w:ascii="Times New Roman" w:eastAsia="Times New Roman" w:hAnsi="Times New Roman" w:cs="Times New Roman"/>
          <w:bCs/>
        </w:rPr>
        <w:t>и.о</w:t>
      </w:r>
      <w:proofErr w:type="spellEnd"/>
      <w:r w:rsidRPr="00D354C8">
        <w:rPr>
          <w:rFonts w:ascii="Times New Roman" w:eastAsia="Times New Roman" w:hAnsi="Times New Roman" w:cs="Times New Roman"/>
          <w:bCs/>
        </w:rPr>
        <w:t xml:space="preserve">. Министра экологии, геологии и </w:t>
      </w:r>
      <w:r w:rsidRPr="00D354C8">
        <w:rPr>
          <w:rFonts w:ascii="Times New Roman" w:eastAsia="Times New Roman" w:hAnsi="Times New Roman" w:cs="Times New Roman"/>
          <w:bCs/>
        </w:rPr>
        <w:lastRenderedPageBreak/>
        <w:t xml:space="preserve">природных ресурсов Республики Казахстан от 6 августа 2021 года № 314, </w:t>
      </w:r>
    </w:p>
    <w:p w:rsidR="00D354C8" w:rsidRPr="00D354C8" w:rsidRDefault="00D354C8" w:rsidP="00D35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 xml:space="preserve">- Методика определения нормативов эмиссий в окружающую среду Приказ Министра экологии, геологии и природных ресурсов Республики Казахстан от 10 марта 2021 года № 63, </w:t>
      </w:r>
    </w:p>
    <w:p w:rsidR="00D354C8" w:rsidRPr="00D354C8" w:rsidRDefault="00D354C8" w:rsidP="00D35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</w:rPr>
      </w:pPr>
      <w:r w:rsidRPr="00D354C8">
        <w:rPr>
          <w:rFonts w:ascii="Times New Roman" w:eastAsia="Times New Roman" w:hAnsi="Times New Roman" w:cs="Times New Roman"/>
          <w:bCs/>
        </w:rPr>
        <w:t>- Инструкция по организации и проведению экологической оценки Приказ Министра экологии, геологии и природных ресурсов Республики Казахстан от 30 июля 2021 года № 280.</w:t>
      </w:r>
    </w:p>
    <w:p w:rsidR="00D354C8" w:rsidRPr="00D354C8" w:rsidRDefault="00D354C8" w:rsidP="00D35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</w:rPr>
      </w:pPr>
    </w:p>
    <w:p w:rsidR="00B7769A" w:rsidRDefault="00B7769A" w:rsidP="00D354C8">
      <w:pPr>
        <w:ind w:right="-1" w:firstLine="567"/>
        <w:jc w:val="both"/>
      </w:pPr>
    </w:p>
    <w:sectPr w:rsidR="00B77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65C37"/>
    <w:multiLevelType w:val="hybridMultilevel"/>
    <w:tmpl w:val="4E8E11D6"/>
    <w:lvl w:ilvl="0" w:tplc="4C5CB55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AE"/>
    <w:rsid w:val="001A5EAE"/>
    <w:rsid w:val="00B7769A"/>
    <w:rsid w:val="00D3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4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4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2246</Words>
  <Characters>12808</Characters>
  <Application>Microsoft Office Word</Application>
  <DocSecurity>0</DocSecurity>
  <Lines>106</Lines>
  <Paragraphs>30</Paragraphs>
  <ScaleCrop>false</ScaleCrop>
  <Company/>
  <LinksUpToDate>false</LinksUpToDate>
  <CharactersWithSpaces>15024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2023-07-10T04:45:00Z</dcterms:created>
  <dcterms:modified xsi:type="dcterms:W3CDTF">2023-07-10T04:47:00Z</dcterms:modified>
</cp:coreProperties>
</file>